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632937" w:rsidP="00632937">
            <w:pPr>
              <w:rPr>
                <w:rFonts w:cs="Arial"/>
                <w:b/>
                <w:color w:val="auto"/>
              </w:rPr>
            </w:pPr>
            <w:r>
              <w:rPr>
                <w:rFonts w:cs="Arial"/>
                <w:b/>
                <w:color w:val="auto"/>
              </w:rPr>
              <w:t xml:space="preserve">16 December </w:t>
            </w:r>
            <w:r w:rsidR="005E342D">
              <w:rPr>
                <w:rFonts w:cs="Arial"/>
                <w:b/>
                <w:color w:val="auto"/>
              </w:rPr>
              <w:t>2020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0F43FB">
              <w:rPr>
                <w:b/>
              </w:rPr>
              <w:t>agenda item 6</w:t>
            </w:r>
            <w:r w:rsidR="00C926A1">
              <w:rPr>
                <w:b/>
              </w:rPr>
              <w:t xml:space="preserve"> – </w:t>
            </w:r>
            <w:proofErr w:type="spellStart"/>
            <w:r w:rsidR="000F43FB">
              <w:rPr>
                <w:b/>
              </w:rPr>
              <w:t>OxWED</w:t>
            </w:r>
            <w:proofErr w:type="spellEnd"/>
            <w:r w:rsidR="000F43FB">
              <w:rPr>
                <w:b/>
              </w:rPr>
              <w:t xml:space="preserve"> Update Report December 2020</w:t>
            </w:r>
            <w:r w:rsidR="00632937">
              <w:rPr>
                <w:b/>
              </w:rPr>
              <w:t xml:space="preserve"> </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0F43FB">
            <w:pPr>
              <w:rPr>
                <w:b/>
              </w:rPr>
            </w:pPr>
            <w:r>
              <w:t xml:space="preserve">To present Companies Scrutiny Panel recommendations concerning the </w:t>
            </w:r>
            <w:proofErr w:type="spellStart"/>
            <w:r w:rsidR="000F43FB">
              <w:t>OxWED</w:t>
            </w:r>
            <w:proofErr w:type="spellEnd"/>
            <w:r w:rsidR="000F43FB">
              <w:t xml:space="preserve"> Update Report December 2020</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632937" w:rsidP="008139D7">
      <w:pPr>
        <w:pStyle w:val="ListParagraph"/>
        <w:numPr>
          <w:ilvl w:val="0"/>
          <w:numId w:val="48"/>
        </w:numPr>
        <w:spacing w:after="0"/>
        <w:ind w:left="426" w:hanging="426"/>
      </w:pPr>
      <w:r>
        <w:t xml:space="preserve">At its meeting on 14 December </w:t>
      </w:r>
      <w:r w:rsidR="00C926A1">
        <w:t>2020</w:t>
      </w:r>
      <w:r w:rsidR="00A83FC9">
        <w:t>, the Companies Scrutiny Panel</w:t>
      </w:r>
      <w:r w:rsidR="008139D7">
        <w:t xml:space="preserve"> considered</w:t>
      </w:r>
      <w:r w:rsidR="00C926A1">
        <w:t xml:space="preserve"> </w:t>
      </w:r>
      <w:r w:rsidR="005E342D">
        <w:t xml:space="preserve">the </w:t>
      </w:r>
      <w:proofErr w:type="spellStart"/>
      <w:r w:rsidR="000F43FB">
        <w:t>OxWED</w:t>
      </w:r>
      <w:proofErr w:type="spellEnd"/>
      <w:r w:rsidR="000F43FB">
        <w:t xml:space="preserve"> Update Report December 2020</w:t>
      </w:r>
      <w:r w:rsidR="005E342D">
        <w:t>.</w:t>
      </w:r>
    </w:p>
    <w:p w:rsidR="008139D7" w:rsidRDefault="008139D7" w:rsidP="008139D7">
      <w:pPr>
        <w:spacing w:after="0"/>
      </w:pPr>
    </w:p>
    <w:p w:rsidR="00C926A1" w:rsidRPr="005C1171" w:rsidRDefault="008139D7" w:rsidP="00C926A1">
      <w:pPr>
        <w:pStyle w:val="ListParagraph"/>
        <w:numPr>
          <w:ilvl w:val="0"/>
          <w:numId w:val="48"/>
        </w:numPr>
        <w:spacing w:after="0"/>
        <w:ind w:left="426" w:hanging="426"/>
        <w:rPr>
          <w:b/>
          <w:color w:val="auto"/>
        </w:rPr>
      </w:pPr>
      <w:r>
        <w:t xml:space="preserve">The Panel would like to thank </w:t>
      </w:r>
      <w:r w:rsidR="00632937">
        <w:t>Jane Winfield, OCC Company Director</w:t>
      </w:r>
      <w:r w:rsidR="000F43FB">
        <w:t xml:space="preserve"> for </w:t>
      </w:r>
      <w:proofErr w:type="spellStart"/>
      <w:r w:rsidR="000F43FB">
        <w:t>OxWED</w:t>
      </w:r>
      <w:proofErr w:type="spellEnd"/>
      <w:r w:rsidR="00632937">
        <w:t>,</w:t>
      </w:r>
      <w:r w:rsidR="00DE52C0">
        <w:t xml:space="preserve"> </w:t>
      </w:r>
      <w:r w:rsidR="000F43FB">
        <w:t xml:space="preserve">Kevin Minns, </w:t>
      </w:r>
      <w:proofErr w:type="spellStart"/>
      <w:r w:rsidR="000F43FB">
        <w:t>OxWED</w:t>
      </w:r>
      <w:proofErr w:type="spellEnd"/>
      <w:r w:rsidR="000F43FB">
        <w:t xml:space="preserve"> Executive Officer, and Lindsay Cane, </w:t>
      </w:r>
      <w:proofErr w:type="spellStart"/>
      <w:r w:rsidR="000F43FB">
        <w:t>OxWED</w:t>
      </w:r>
      <w:proofErr w:type="spellEnd"/>
      <w:r w:rsidR="000F43FB">
        <w:t xml:space="preserve"> Company Secretary, </w:t>
      </w:r>
      <w:r w:rsidR="005C1171">
        <w:t>for attending the meeting and answering questions</w:t>
      </w:r>
      <w:r w:rsidR="006C7C6C">
        <w:t>.</w:t>
      </w:r>
      <w:r w:rsidR="00397693">
        <w:t xml:space="preserve"> The Panel would also like to thank Nigel Kennedy, Head of Financial Services, and Anita Bradley, </w:t>
      </w:r>
      <w:r w:rsidR="003D67AA">
        <w:t>Head of Law and Governance</w:t>
      </w:r>
      <w:r w:rsidR="00397693">
        <w:t xml:space="preserve"> </w:t>
      </w:r>
      <w:r w:rsidR="00BF64E9">
        <w:t>for attending as advisors to the Shareholder and Joint Venture Group</w:t>
      </w:r>
      <w:r w:rsidR="00397693">
        <w:t>.</w:t>
      </w:r>
    </w:p>
    <w:p w:rsidR="00EE00E3" w:rsidRPr="000F43FB" w:rsidRDefault="008139D7" w:rsidP="000F43FB">
      <w:pPr>
        <w:pStyle w:val="Heading1"/>
      </w:pPr>
      <w:r w:rsidRPr="00B06D07">
        <w:t>Summary and recommendation</w:t>
      </w:r>
    </w:p>
    <w:p w:rsidR="00DE52C0" w:rsidRPr="005C1171" w:rsidRDefault="003D67AA" w:rsidP="005C1171">
      <w:pPr>
        <w:pStyle w:val="ListParagraph"/>
        <w:rPr>
          <w:rFonts w:eastAsiaTheme="minorHAnsi"/>
          <w:lang w:eastAsia="en-US"/>
        </w:rPr>
      </w:pPr>
      <w:r>
        <w:rPr>
          <w:rFonts w:eastAsiaTheme="minorHAnsi"/>
          <w:lang w:eastAsia="en-US"/>
        </w:rPr>
        <w:t xml:space="preserve">The </w:t>
      </w:r>
      <w:proofErr w:type="spellStart"/>
      <w:r w:rsidR="000F43FB">
        <w:rPr>
          <w:rFonts w:eastAsiaTheme="minorHAnsi"/>
          <w:lang w:eastAsia="en-US"/>
        </w:rPr>
        <w:t>OxWED</w:t>
      </w:r>
      <w:proofErr w:type="spellEnd"/>
      <w:r w:rsidR="000F43FB">
        <w:rPr>
          <w:rFonts w:eastAsiaTheme="minorHAnsi"/>
          <w:lang w:eastAsia="en-US"/>
        </w:rPr>
        <w:t xml:space="preserve"> Executive Director, Kevin Minns, introduced the report.</w:t>
      </w:r>
      <w:r w:rsidR="00EE00E3">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0F43FB" w:rsidRPr="00B17180" w:rsidRDefault="006C7C6C" w:rsidP="008D77E2">
      <w:pPr>
        <w:pStyle w:val="ListParagraph"/>
        <w:rPr>
          <w:rFonts w:eastAsiaTheme="minorHAnsi"/>
          <w:lang w:eastAsia="en-US"/>
        </w:rPr>
      </w:pPr>
      <w:r>
        <w:rPr>
          <w:rFonts w:eastAsiaTheme="minorHAnsi"/>
          <w:lang w:eastAsia="en-US"/>
        </w:rPr>
        <w:t>Having heard the presentation of the report the Panel</w:t>
      </w:r>
      <w:r w:rsidR="00632937">
        <w:rPr>
          <w:rFonts w:eastAsiaTheme="minorHAnsi"/>
          <w:lang w:eastAsia="en-US"/>
        </w:rPr>
        <w:t xml:space="preserve"> makes one</w:t>
      </w:r>
      <w:r w:rsidR="005E342D">
        <w:rPr>
          <w:rFonts w:eastAsiaTheme="minorHAnsi"/>
          <w:lang w:eastAsia="en-US"/>
        </w:rPr>
        <w:t xml:space="preserve"> recommendation in relation to </w:t>
      </w:r>
      <w:r w:rsidR="000F43FB">
        <w:rPr>
          <w:rFonts w:eastAsiaTheme="minorHAnsi"/>
          <w:lang w:eastAsia="en-US"/>
        </w:rPr>
        <w:t>ensuring transport, energy and environmental considerations are included sufficiently early as not to have the options for their delivery ‘designed out’ by previous decisions.</w:t>
      </w:r>
    </w:p>
    <w:p w:rsidR="00426D2A" w:rsidRPr="00B17180" w:rsidRDefault="00EB1FE1" w:rsidP="00B17180">
      <w:pPr>
        <w:pStyle w:val="Heading1"/>
        <w:rPr>
          <w:rFonts w:eastAsiaTheme="minorHAnsi"/>
        </w:rPr>
      </w:pPr>
      <w:r w:rsidRPr="00B17180">
        <w:rPr>
          <w:rFonts w:eastAsiaTheme="minorHAnsi"/>
        </w:rPr>
        <w:lastRenderedPageBreak/>
        <w:t>Transport, Energy and Environment</w:t>
      </w:r>
    </w:p>
    <w:p w:rsidR="008D77E2" w:rsidRPr="0031573A" w:rsidRDefault="0031573A" w:rsidP="008D77E2">
      <w:pPr>
        <w:pStyle w:val="ListParagraph"/>
        <w:rPr>
          <w:b/>
          <w:noProof/>
        </w:rPr>
      </w:pPr>
      <w:r>
        <w:rPr>
          <w:rFonts w:eastAsiaTheme="minorHAnsi"/>
          <w:lang w:eastAsia="en-US"/>
        </w:rPr>
        <w:t xml:space="preserve">The </w:t>
      </w:r>
      <w:r w:rsidR="000F43FB">
        <w:rPr>
          <w:rFonts w:eastAsiaTheme="minorHAnsi"/>
          <w:lang w:eastAsia="en-US"/>
        </w:rPr>
        <w:t xml:space="preserve">Panel welcomed </w:t>
      </w:r>
      <w:r w:rsidR="00EB1FE1">
        <w:rPr>
          <w:rFonts w:eastAsiaTheme="minorHAnsi"/>
          <w:lang w:eastAsia="en-US"/>
        </w:rPr>
        <w:t xml:space="preserve">the reports of progress being made in appointing the project team for the development. In its discussion of this, </w:t>
      </w:r>
      <w:r w:rsidR="003D67AA">
        <w:rPr>
          <w:rFonts w:eastAsiaTheme="minorHAnsi"/>
          <w:lang w:eastAsia="en-US"/>
        </w:rPr>
        <w:t>the Panel</w:t>
      </w:r>
      <w:r w:rsidR="00EB1FE1">
        <w:rPr>
          <w:rFonts w:eastAsiaTheme="minorHAnsi"/>
          <w:lang w:eastAsia="en-US"/>
        </w:rPr>
        <w:t xml:space="preserve"> explored a particular area of work to be done regarding transport. It was recognised by the Panel that the </w:t>
      </w:r>
      <w:proofErr w:type="spellStart"/>
      <w:r w:rsidR="00EB1FE1">
        <w:rPr>
          <w:rFonts w:eastAsiaTheme="minorHAnsi"/>
          <w:lang w:eastAsia="en-US"/>
        </w:rPr>
        <w:t>OxWED’s</w:t>
      </w:r>
      <w:proofErr w:type="spellEnd"/>
      <w:r w:rsidR="00EB1FE1">
        <w:rPr>
          <w:rFonts w:eastAsiaTheme="minorHAnsi"/>
          <w:lang w:eastAsia="en-US"/>
        </w:rPr>
        <w:t xml:space="preserve"> location meant that the successful </w:t>
      </w:r>
      <w:bookmarkStart w:id="0" w:name="_GoBack"/>
      <w:bookmarkEnd w:id="0"/>
      <w:r w:rsidR="00EB1FE1">
        <w:rPr>
          <w:rFonts w:eastAsiaTheme="minorHAnsi"/>
          <w:lang w:eastAsia="en-US"/>
        </w:rPr>
        <w:t xml:space="preserve">resolution of its transport challenges – access to the railway, overcoming the ‘barrier’ of </w:t>
      </w:r>
      <w:proofErr w:type="spellStart"/>
      <w:r w:rsidR="00EB1FE1">
        <w:rPr>
          <w:rFonts w:eastAsiaTheme="minorHAnsi"/>
          <w:lang w:eastAsia="en-US"/>
        </w:rPr>
        <w:t>Oxpens</w:t>
      </w:r>
      <w:proofErr w:type="spellEnd"/>
      <w:r w:rsidR="00EB1FE1">
        <w:rPr>
          <w:rFonts w:eastAsiaTheme="minorHAnsi"/>
          <w:lang w:eastAsia="en-US"/>
        </w:rPr>
        <w:t xml:space="preserve"> Road, and building the bridge were all critical to the success of the development. Concern was raised that unless these issues were addressed early on in the process, the number of options might be reduced by design decisions made earlier on in relation to other issues, a situation which would be deeply detrimental to the overall development. As such, the Panel encourages transport considerations, including staffing and external resource, to be included from as early a stage as possible. </w:t>
      </w:r>
    </w:p>
    <w:p w:rsidR="0031573A" w:rsidRPr="006057AC" w:rsidRDefault="00EB1FE1" w:rsidP="008D77E2">
      <w:pPr>
        <w:pStyle w:val="ListParagraph"/>
        <w:rPr>
          <w:b/>
          <w:noProof/>
        </w:rPr>
      </w:pPr>
      <w:r>
        <w:rPr>
          <w:rFonts w:eastAsiaTheme="minorHAnsi"/>
          <w:lang w:eastAsia="en-US"/>
        </w:rPr>
        <w:t xml:space="preserve">In discussing the threat of narrowed options for transport, it was also noted that environmental and energy considerations could also face a similar challenge if not also included from the start. For example, </w:t>
      </w:r>
      <w:r w:rsidR="00357C49">
        <w:rPr>
          <w:rFonts w:eastAsiaTheme="minorHAnsi"/>
          <w:lang w:eastAsia="en-US"/>
        </w:rPr>
        <w:t xml:space="preserve">the aspect of a building has significant implications on its ability to use sunlight as an emission-free energy source. Trying to retrofit similar issues into existing plans would be likely to be costly in both time and money. The Panel is therefore keen that energy and environmental input also be included in the earliest possible stage. </w:t>
      </w:r>
    </w:p>
    <w:p w:rsidR="00357C49" w:rsidRPr="000F43FB" w:rsidRDefault="00A2184A" w:rsidP="00357C49">
      <w:pPr>
        <w:spacing w:after="0"/>
        <w:ind w:left="360"/>
        <w:rPr>
          <w:rFonts w:cs="Arial"/>
        </w:rPr>
      </w:pPr>
      <w:r>
        <w:rPr>
          <w:b/>
          <w:noProof/>
        </w:rPr>
        <w:t xml:space="preserve">Recommendation 1: </w:t>
      </w:r>
      <w:r w:rsidR="00357C49">
        <w:rPr>
          <w:b/>
          <w:noProof/>
        </w:rPr>
        <w:t>That the Shareholder ensures that transport, energy and environmental inputs are considered from the earliest opportunity within the development, including the appointment of suitable external professionals.</w:t>
      </w:r>
    </w:p>
    <w:p w:rsidR="005C7E85" w:rsidRDefault="008139D7" w:rsidP="008D77E2">
      <w:pPr>
        <w:pStyle w:val="Heading1"/>
      </w:pPr>
      <w:r w:rsidRPr="006A5C65">
        <w:t xml:space="preserve">Further Consideration </w:t>
      </w:r>
    </w:p>
    <w:p w:rsidR="008139D7" w:rsidRPr="008139D7" w:rsidRDefault="008139D7" w:rsidP="008139D7">
      <w:pPr>
        <w:spacing w:after="0"/>
        <w:rPr>
          <w:b/>
          <w:color w:val="auto"/>
        </w:rPr>
      </w:pPr>
    </w:p>
    <w:p w:rsidR="00283B69" w:rsidRPr="00575235" w:rsidRDefault="008D77E2" w:rsidP="00A566D0">
      <w:pPr>
        <w:pStyle w:val="bParagraphtext"/>
        <w:rPr>
          <w:rFonts w:eastAsiaTheme="minorHAnsi"/>
          <w:lang w:eastAsia="en-US"/>
        </w:rPr>
      </w:pPr>
      <w:r>
        <w:rPr>
          <w:rFonts w:eastAsiaTheme="minorHAnsi"/>
          <w:lang w:eastAsia="en-US"/>
        </w:rPr>
        <w:t xml:space="preserve">The Companies Scrutiny Panel has updates from </w:t>
      </w:r>
      <w:proofErr w:type="spellStart"/>
      <w:r w:rsidR="00EB1FE1">
        <w:rPr>
          <w:rFonts w:eastAsiaTheme="minorHAnsi"/>
          <w:lang w:eastAsia="en-US"/>
        </w:rPr>
        <w:t>OxWED</w:t>
      </w:r>
      <w:proofErr w:type="spellEnd"/>
      <w:r>
        <w:rPr>
          <w:rFonts w:eastAsiaTheme="minorHAnsi"/>
          <w:lang w:eastAsia="en-US"/>
        </w:rPr>
        <w:t xml:space="preserve"> as a standing item on its agenda. </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385"/>
        <w:gridCol w:w="5785"/>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446E66" w:rsidP="00922669">
            <w:pPr>
              <w:rPr>
                <w:rStyle w:val="Hyperlink"/>
                <w:rFonts w:cs="Arial"/>
                <w:color w:val="000000"/>
              </w:rPr>
            </w:pPr>
            <w:hyperlink r:id="rId8"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9"/>
          <w:footerReference w:type="default" r:id="rId10"/>
          <w:headerReference w:type="first" r:id="rId11"/>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632937">
        <w:rPr>
          <w:rFonts w:cs="Arial"/>
          <w:b/>
        </w:rPr>
        <w:t>14/12</w:t>
      </w:r>
      <w:r w:rsidR="001B243F">
        <w:rPr>
          <w:rFonts w:cs="Arial"/>
          <w:b/>
        </w:rPr>
        <w:t xml:space="preserve">/2020 </w:t>
      </w:r>
      <w:r w:rsidRPr="00D8335C">
        <w:rPr>
          <w:rFonts w:cs="Arial"/>
          <w:b/>
        </w:rPr>
        <w:t>concerning</w:t>
      </w:r>
      <w:r>
        <w:rPr>
          <w:rFonts w:cs="Arial"/>
          <w:b/>
        </w:rPr>
        <w:t xml:space="preserve"> </w:t>
      </w:r>
      <w:r w:rsidR="00932552">
        <w:rPr>
          <w:b/>
        </w:rPr>
        <w:t xml:space="preserve">the </w:t>
      </w:r>
      <w:proofErr w:type="spellStart"/>
      <w:r w:rsidR="000F43FB">
        <w:rPr>
          <w:b/>
        </w:rPr>
        <w:t>OxWED</w:t>
      </w:r>
      <w:proofErr w:type="spellEnd"/>
      <w:r w:rsidR="000F43FB">
        <w:rPr>
          <w:b/>
        </w:rPr>
        <w:t xml:space="preserve"> Update Report December 2020</w:t>
      </w:r>
    </w:p>
    <w:p w:rsidR="000F43FB" w:rsidRDefault="00E5126A" w:rsidP="00AE00D6">
      <w:pPr>
        <w:rPr>
          <w:rFonts w:cs="Arial"/>
          <w:b/>
        </w:rPr>
      </w:pPr>
      <w:r>
        <w:rPr>
          <w:rFonts w:cs="Arial"/>
          <w:b/>
        </w:rPr>
        <w:t>A verbal response will be p</w:t>
      </w:r>
      <w:r w:rsidR="00AE00D6">
        <w:rPr>
          <w:rFonts w:cs="Arial"/>
          <w:b/>
        </w:rPr>
        <w:t xml:space="preserve">rovided by Councillor </w:t>
      </w:r>
      <w:r w:rsidR="005C1171">
        <w:rPr>
          <w:rFonts w:cs="Arial"/>
          <w:b/>
        </w:rPr>
        <w:t>Alex Hollingsworth</w:t>
      </w:r>
      <w:r w:rsidR="00AE00D6">
        <w:rPr>
          <w:rFonts w:cs="Arial"/>
          <w:b/>
        </w:rPr>
        <w:t xml:space="preserve">, Shareholder and Joint Venture Group member with responsibility for the </w:t>
      </w:r>
      <w:proofErr w:type="spellStart"/>
      <w:r w:rsidR="000F43FB">
        <w:rPr>
          <w:rFonts w:cs="Arial"/>
          <w:b/>
        </w:rPr>
        <w:t>OxWED</w:t>
      </w:r>
      <w:proofErr w:type="spellEnd"/>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1B243F" w:rsidRPr="00AC577F" w:rsidTr="00EE41F2">
        <w:trPr>
          <w:trHeight w:val="305"/>
        </w:trPr>
        <w:tc>
          <w:tcPr>
            <w:tcW w:w="6629" w:type="dxa"/>
            <w:shd w:val="clear" w:color="auto" w:fill="auto"/>
          </w:tcPr>
          <w:p w:rsidR="00077DA4" w:rsidRPr="000F43FB" w:rsidRDefault="005C1171" w:rsidP="000F43FB">
            <w:pPr>
              <w:numPr>
                <w:ilvl w:val="0"/>
                <w:numId w:val="49"/>
              </w:numPr>
              <w:spacing w:after="0"/>
              <w:rPr>
                <w:rFonts w:cs="Arial"/>
              </w:rPr>
            </w:pPr>
            <w:r>
              <w:rPr>
                <w:b/>
                <w:noProof/>
              </w:rPr>
              <w:t xml:space="preserve">That the Shareholder </w:t>
            </w:r>
            <w:r w:rsidR="000F43FB">
              <w:rPr>
                <w:b/>
                <w:noProof/>
              </w:rPr>
              <w:t xml:space="preserve">ensures that transport, energy and environmental </w:t>
            </w:r>
            <w:r w:rsidR="00357C49">
              <w:rPr>
                <w:b/>
                <w:noProof/>
              </w:rPr>
              <w:t>inputs</w:t>
            </w:r>
            <w:r w:rsidR="000F43FB">
              <w:rPr>
                <w:b/>
                <w:noProof/>
              </w:rPr>
              <w:t xml:space="preserve"> are considered from the earliest opportunity within the development, including the appointment of suitable external professionals.</w:t>
            </w:r>
          </w:p>
          <w:p w:rsidR="000F43FB" w:rsidRPr="00077DA4" w:rsidRDefault="000F43FB" w:rsidP="000F43FB">
            <w:pPr>
              <w:spacing w:after="0"/>
              <w:rPr>
                <w:rFonts w:cs="Arial"/>
              </w:rPr>
            </w:pPr>
          </w:p>
        </w:tc>
        <w:tc>
          <w:tcPr>
            <w:tcW w:w="1134" w:type="dxa"/>
            <w:shd w:val="clear" w:color="auto" w:fill="auto"/>
          </w:tcPr>
          <w:p w:rsidR="001B243F" w:rsidRPr="00AC577F" w:rsidRDefault="001B243F" w:rsidP="00F4534B">
            <w:pPr>
              <w:rPr>
                <w:rFonts w:cs="Arial"/>
              </w:rPr>
            </w:pPr>
          </w:p>
        </w:tc>
        <w:tc>
          <w:tcPr>
            <w:tcW w:w="6520" w:type="dxa"/>
            <w:shd w:val="clear" w:color="auto" w:fill="auto"/>
          </w:tcPr>
          <w:p w:rsidR="0045640F" w:rsidRPr="00AC577F" w:rsidRDefault="0045640F" w:rsidP="0045640F">
            <w:pPr>
              <w:rPr>
                <w:rFonts w:cs="Arial"/>
              </w:rPr>
            </w:pPr>
          </w:p>
        </w:tc>
      </w:tr>
    </w:tbl>
    <w:p w:rsidR="00AE00D6" w:rsidRPr="000947DC" w:rsidRDefault="00AE00D6" w:rsidP="002F68CC">
      <w:pPr>
        <w:jc w:val="both"/>
        <w:rPr>
          <w:rFonts w:cs="Arial"/>
        </w:rPr>
      </w:pPr>
    </w:p>
    <w:sectPr w:rsidR="00AE00D6" w:rsidRPr="000947DC" w:rsidSect="00AE00D6">
      <w:headerReference w:type="first" r:id="rId12"/>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31" w:rsidRDefault="00AD1D31" w:rsidP="004A6D2F">
      <w:r>
        <w:separator/>
      </w:r>
    </w:p>
  </w:endnote>
  <w:endnote w:type="continuationSeparator" w:id="0">
    <w:p w:rsidR="00AD1D31" w:rsidRDefault="00AD1D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31" w:rsidRDefault="00AD1D31" w:rsidP="004A6D2F">
      <w:r>
        <w:separator/>
      </w:r>
    </w:p>
  </w:footnote>
  <w:footnote w:type="continuationSeparator" w:id="0">
    <w:p w:rsidR="00AD1D31" w:rsidRDefault="00AD1D3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8365C6"/>
    <w:multiLevelType w:val="multilevel"/>
    <w:tmpl w:val="5CAE05C2"/>
    <w:lvl w:ilvl="0">
      <w:start w:val="3"/>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2AB5"/>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77DA4"/>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3FB"/>
    <w:rsid w:val="000F4481"/>
    <w:rsid w:val="000F4751"/>
    <w:rsid w:val="00100767"/>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243F"/>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528D0"/>
    <w:rsid w:val="00260467"/>
    <w:rsid w:val="00262A9D"/>
    <w:rsid w:val="00263EA3"/>
    <w:rsid w:val="00264568"/>
    <w:rsid w:val="002738A2"/>
    <w:rsid w:val="00283B69"/>
    <w:rsid w:val="00284F85"/>
    <w:rsid w:val="00290915"/>
    <w:rsid w:val="002A100D"/>
    <w:rsid w:val="002A1BC8"/>
    <w:rsid w:val="002A22E2"/>
    <w:rsid w:val="002A2D09"/>
    <w:rsid w:val="002A4510"/>
    <w:rsid w:val="002C3601"/>
    <w:rsid w:val="002C64F7"/>
    <w:rsid w:val="002D053C"/>
    <w:rsid w:val="002E4361"/>
    <w:rsid w:val="002F41F2"/>
    <w:rsid w:val="002F68CC"/>
    <w:rsid w:val="00301BF3"/>
    <w:rsid w:val="0030208D"/>
    <w:rsid w:val="003035D9"/>
    <w:rsid w:val="0031573A"/>
    <w:rsid w:val="003165D8"/>
    <w:rsid w:val="00323418"/>
    <w:rsid w:val="003357BF"/>
    <w:rsid w:val="003464E1"/>
    <w:rsid w:val="00352C8B"/>
    <w:rsid w:val="00357C49"/>
    <w:rsid w:val="00361C76"/>
    <w:rsid w:val="0036423D"/>
    <w:rsid w:val="00364FAD"/>
    <w:rsid w:val="0036738F"/>
    <w:rsid w:val="0036759C"/>
    <w:rsid w:val="00367AE5"/>
    <w:rsid w:val="00367D71"/>
    <w:rsid w:val="00370027"/>
    <w:rsid w:val="00370487"/>
    <w:rsid w:val="00373BD7"/>
    <w:rsid w:val="0038150A"/>
    <w:rsid w:val="0039194E"/>
    <w:rsid w:val="0039357B"/>
    <w:rsid w:val="00397693"/>
    <w:rsid w:val="003A26FD"/>
    <w:rsid w:val="003A5955"/>
    <w:rsid w:val="003A76C8"/>
    <w:rsid w:val="003B0980"/>
    <w:rsid w:val="003B6E75"/>
    <w:rsid w:val="003B7DA1"/>
    <w:rsid w:val="003C5012"/>
    <w:rsid w:val="003C5775"/>
    <w:rsid w:val="003D0379"/>
    <w:rsid w:val="003D1756"/>
    <w:rsid w:val="003D2574"/>
    <w:rsid w:val="003D4C59"/>
    <w:rsid w:val="003D67AA"/>
    <w:rsid w:val="003F4267"/>
    <w:rsid w:val="004007FD"/>
    <w:rsid w:val="00403734"/>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46E66"/>
    <w:rsid w:val="00450474"/>
    <w:rsid w:val="004521B7"/>
    <w:rsid w:val="004548E3"/>
    <w:rsid w:val="0045640F"/>
    <w:rsid w:val="00457873"/>
    <w:rsid w:val="00462AB5"/>
    <w:rsid w:val="004653AD"/>
    <w:rsid w:val="00465EAF"/>
    <w:rsid w:val="004711FC"/>
    <w:rsid w:val="004738C5"/>
    <w:rsid w:val="00473F3E"/>
    <w:rsid w:val="00475860"/>
    <w:rsid w:val="004804B9"/>
    <w:rsid w:val="00484329"/>
    <w:rsid w:val="00487092"/>
    <w:rsid w:val="00491046"/>
    <w:rsid w:val="004962E9"/>
    <w:rsid w:val="004A043B"/>
    <w:rsid w:val="004A27B5"/>
    <w:rsid w:val="004A2AC7"/>
    <w:rsid w:val="004A3E93"/>
    <w:rsid w:val="004A6D2F"/>
    <w:rsid w:val="004B1835"/>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34D9C"/>
    <w:rsid w:val="00540323"/>
    <w:rsid w:val="005427A0"/>
    <w:rsid w:val="0054712D"/>
    <w:rsid w:val="00547EF6"/>
    <w:rsid w:val="00550211"/>
    <w:rsid w:val="00552930"/>
    <w:rsid w:val="00554C9B"/>
    <w:rsid w:val="005570B5"/>
    <w:rsid w:val="00560AC5"/>
    <w:rsid w:val="00566E73"/>
    <w:rsid w:val="00567E18"/>
    <w:rsid w:val="0057130A"/>
    <w:rsid w:val="00573264"/>
    <w:rsid w:val="00574982"/>
    <w:rsid w:val="00575235"/>
    <w:rsid w:val="00575F5F"/>
    <w:rsid w:val="005807BA"/>
    <w:rsid w:val="00581805"/>
    <w:rsid w:val="0058587E"/>
    <w:rsid w:val="00585F76"/>
    <w:rsid w:val="00591686"/>
    <w:rsid w:val="005A10AD"/>
    <w:rsid w:val="005A34E4"/>
    <w:rsid w:val="005A60D1"/>
    <w:rsid w:val="005B17F2"/>
    <w:rsid w:val="005B195B"/>
    <w:rsid w:val="005B7FB0"/>
    <w:rsid w:val="005C1171"/>
    <w:rsid w:val="005C35A5"/>
    <w:rsid w:val="005C577C"/>
    <w:rsid w:val="005C7E85"/>
    <w:rsid w:val="005D0621"/>
    <w:rsid w:val="005D1E27"/>
    <w:rsid w:val="005D2A3E"/>
    <w:rsid w:val="005E022E"/>
    <w:rsid w:val="005E342D"/>
    <w:rsid w:val="005E38FD"/>
    <w:rsid w:val="005E5215"/>
    <w:rsid w:val="005F3F9E"/>
    <w:rsid w:val="005F7F7E"/>
    <w:rsid w:val="006057AC"/>
    <w:rsid w:val="00607D7C"/>
    <w:rsid w:val="00614693"/>
    <w:rsid w:val="00623609"/>
    <w:rsid w:val="00623C2F"/>
    <w:rsid w:val="00627066"/>
    <w:rsid w:val="00632937"/>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5D25"/>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D77E2"/>
    <w:rsid w:val="008E78E1"/>
    <w:rsid w:val="008F261E"/>
    <w:rsid w:val="008F573F"/>
    <w:rsid w:val="008F70A7"/>
    <w:rsid w:val="008F7CC4"/>
    <w:rsid w:val="009034EC"/>
    <w:rsid w:val="00907C06"/>
    <w:rsid w:val="00922669"/>
    <w:rsid w:val="00927573"/>
    <w:rsid w:val="0093067A"/>
    <w:rsid w:val="00932552"/>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84A"/>
    <w:rsid w:val="00A21B12"/>
    <w:rsid w:val="00A232EB"/>
    <w:rsid w:val="00A23F80"/>
    <w:rsid w:val="00A3024F"/>
    <w:rsid w:val="00A37A61"/>
    <w:rsid w:val="00A4234D"/>
    <w:rsid w:val="00A423BF"/>
    <w:rsid w:val="00A464C4"/>
    <w:rsid w:val="00A46E98"/>
    <w:rsid w:val="00A56561"/>
    <w:rsid w:val="00A566D0"/>
    <w:rsid w:val="00A6352B"/>
    <w:rsid w:val="00A642B2"/>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1D31"/>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17180"/>
    <w:rsid w:val="00B31F0C"/>
    <w:rsid w:val="00B3365D"/>
    <w:rsid w:val="00B350A9"/>
    <w:rsid w:val="00B35A1F"/>
    <w:rsid w:val="00B500CA"/>
    <w:rsid w:val="00B53D92"/>
    <w:rsid w:val="00B5531B"/>
    <w:rsid w:val="00B61BAC"/>
    <w:rsid w:val="00B620EE"/>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64E9"/>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2C3C"/>
    <w:rsid w:val="00C7349D"/>
    <w:rsid w:val="00C757A0"/>
    <w:rsid w:val="00C760DE"/>
    <w:rsid w:val="00C82630"/>
    <w:rsid w:val="00C82AC0"/>
    <w:rsid w:val="00C85B4E"/>
    <w:rsid w:val="00C907F7"/>
    <w:rsid w:val="00C926A1"/>
    <w:rsid w:val="00C92729"/>
    <w:rsid w:val="00C93CF6"/>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66F19"/>
    <w:rsid w:val="00D777C2"/>
    <w:rsid w:val="00D843C3"/>
    <w:rsid w:val="00D869A1"/>
    <w:rsid w:val="00D9276D"/>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0D1"/>
    <w:rsid w:val="00DD22FC"/>
    <w:rsid w:val="00DE0FB2"/>
    <w:rsid w:val="00DE12F5"/>
    <w:rsid w:val="00DE52C0"/>
    <w:rsid w:val="00DF093E"/>
    <w:rsid w:val="00E01F42"/>
    <w:rsid w:val="00E13656"/>
    <w:rsid w:val="00E17C83"/>
    <w:rsid w:val="00E206D6"/>
    <w:rsid w:val="00E21747"/>
    <w:rsid w:val="00E256BE"/>
    <w:rsid w:val="00E30EF2"/>
    <w:rsid w:val="00E3318B"/>
    <w:rsid w:val="00E3366E"/>
    <w:rsid w:val="00E34794"/>
    <w:rsid w:val="00E4653D"/>
    <w:rsid w:val="00E5126A"/>
    <w:rsid w:val="00E52086"/>
    <w:rsid w:val="00E543A6"/>
    <w:rsid w:val="00E60479"/>
    <w:rsid w:val="00E608D5"/>
    <w:rsid w:val="00E61656"/>
    <w:rsid w:val="00E61D73"/>
    <w:rsid w:val="00E66993"/>
    <w:rsid w:val="00E73684"/>
    <w:rsid w:val="00E818D6"/>
    <w:rsid w:val="00E87F7A"/>
    <w:rsid w:val="00E96BD7"/>
    <w:rsid w:val="00EA0DB1"/>
    <w:rsid w:val="00EA0EE9"/>
    <w:rsid w:val="00EA1336"/>
    <w:rsid w:val="00EA29B5"/>
    <w:rsid w:val="00EB1FE1"/>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0123"/>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D08D544-AF1C-48DA-9B72-7EF739D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son@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24A9-091E-4914-A217-CB120670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E51031EA</Template>
  <TotalTime>145</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HUDSON Tom</cp:lastModifiedBy>
  <cp:revision>12</cp:revision>
  <cp:lastPrinted>2019-08-28T11:12:00Z</cp:lastPrinted>
  <dcterms:created xsi:type="dcterms:W3CDTF">2020-06-23T14:53:00Z</dcterms:created>
  <dcterms:modified xsi:type="dcterms:W3CDTF">2020-12-15T16:53:00Z</dcterms:modified>
</cp:coreProperties>
</file>